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A4E5" w14:textId="77777777" w:rsidR="00AC70D6" w:rsidRDefault="00000000">
      <w:pPr>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北京市房屋建筑和市政工程专业分包施工招标文件标准文本（2020版）调整内容</w:t>
      </w:r>
    </w:p>
    <w:p w14:paraId="318CC70D" w14:textId="77777777" w:rsidR="00AC70D6" w:rsidRDefault="00AC70D6">
      <w:pPr>
        <w:spacing w:line="560" w:lineRule="exact"/>
        <w:ind w:firstLineChars="200" w:firstLine="560"/>
        <w:rPr>
          <w:rFonts w:ascii="宋体" w:eastAsia="宋体" w:hAnsi="宋体" w:hint="eastAsia"/>
          <w:sz w:val="28"/>
          <w:szCs w:val="28"/>
        </w:rPr>
      </w:pPr>
    </w:p>
    <w:p w14:paraId="00BCF9BF"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一、在第二章投标人须知专用部分第1.4.1（5）</w:t>
      </w:r>
      <w:proofErr w:type="gramStart"/>
      <w:r>
        <w:rPr>
          <w:rFonts w:ascii="仿宋_GB2312" w:eastAsia="仿宋_GB2312" w:hAnsi="仿宋_GB2312" w:cs="仿宋_GB2312" w:hint="eastAsia"/>
          <w:sz w:val="32"/>
          <w:szCs w:val="32"/>
        </w:rPr>
        <w:t>目增加</w:t>
      </w:r>
      <w:proofErr w:type="gramEnd"/>
      <w:r>
        <w:rPr>
          <w:rFonts w:ascii="仿宋_GB2312" w:eastAsia="仿宋_GB2312" w:hAnsi="仿宋_GB2312" w:cs="仿宋_GB2312" w:hint="eastAsia"/>
          <w:sz w:val="32"/>
          <w:szCs w:val="32"/>
        </w:rPr>
        <w:t>以下内容（适用于资格后审）：</w:t>
      </w:r>
    </w:p>
    <w:p w14:paraId="6CC5B474"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本专业分包工程是否对同一母公司的子公司（含子公司的子公司）投标人数量进行限制：</w:t>
      </w:r>
    </w:p>
    <w:p w14:paraId="77A8BC73"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不限制</w:t>
      </w:r>
    </w:p>
    <w:p w14:paraId="1F528C54"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限制，限制规则：              </w:t>
      </w:r>
    </w:p>
    <w:p w14:paraId="3CDE326E"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bookmarkStart w:id="0" w:name="OLE_LINK4"/>
      <w:r>
        <w:rPr>
          <w:rFonts w:ascii="仿宋_GB2312" w:eastAsia="仿宋_GB2312" w:hAnsi="仿宋_GB2312" w:cs="仿宋_GB2312" w:hint="eastAsia"/>
          <w:sz w:val="32"/>
          <w:szCs w:val="32"/>
        </w:rPr>
        <w:t>二、在第二章投标人须知专用部分第13.1款增加以下内容：</w:t>
      </w:r>
    </w:p>
    <w:bookmarkEnd w:id="0"/>
    <w:p w14:paraId="33417D7A"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13.1.1本专业分包工程施工过程中使用新能源机械的要求：</w:t>
      </w:r>
    </w:p>
    <w:p w14:paraId="72779127"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必须使用新能源机械</w:t>
      </w:r>
    </w:p>
    <w:p w14:paraId="70086B38"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鼓励使用新能源机械</w:t>
      </w:r>
    </w:p>
    <w:p w14:paraId="0E062C79"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使用新能源机械是指：本专业分包工程施工过程中的叉车、升降平台、2吨及以下装载机和6吨及以下挖掘机等非道路移动机械采用新能源，其他非道路移动机械</w:t>
      </w:r>
      <w:proofErr w:type="gramStart"/>
      <w:r>
        <w:rPr>
          <w:rFonts w:ascii="仿宋_GB2312" w:eastAsia="仿宋_GB2312" w:hAnsi="仿宋_GB2312" w:cs="仿宋_GB2312" w:hint="eastAsia"/>
          <w:sz w:val="32"/>
          <w:szCs w:val="32"/>
        </w:rPr>
        <w:t>满足国四非</w:t>
      </w:r>
      <w:proofErr w:type="gramEnd"/>
      <w:r>
        <w:rPr>
          <w:rFonts w:ascii="仿宋_GB2312" w:eastAsia="仿宋_GB2312" w:hAnsi="仿宋_GB2312" w:cs="仿宋_GB2312" w:hint="eastAsia"/>
          <w:sz w:val="32"/>
          <w:szCs w:val="32"/>
        </w:rPr>
        <w:t>道路机械排放标准。</w:t>
      </w:r>
    </w:p>
    <w:p w14:paraId="1DE4CB71"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投标人在本专业分包工程施工过程中使用新能源机械的，应提供承诺书，承诺本工程施工过程中的叉车、升降平台、2吨及以下装载机和6吨及以下挖掘机等非道路移动机械采用新能源，其他非道路移动机械</w:t>
      </w:r>
      <w:proofErr w:type="gramStart"/>
      <w:r>
        <w:rPr>
          <w:rFonts w:ascii="仿宋_GB2312" w:eastAsia="仿宋_GB2312" w:hAnsi="仿宋_GB2312" w:cs="仿宋_GB2312" w:hint="eastAsia"/>
          <w:sz w:val="32"/>
          <w:szCs w:val="32"/>
        </w:rPr>
        <w:t>满足国四非</w:t>
      </w:r>
      <w:proofErr w:type="gramEnd"/>
      <w:r>
        <w:rPr>
          <w:rFonts w:ascii="仿宋_GB2312" w:eastAsia="仿宋_GB2312" w:hAnsi="仿宋_GB2312" w:cs="仿宋_GB2312" w:hint="eastAsia"/>
          <w:sz w:val="32"/>
          <w:szCs w:val="32"/>
        </w:rPr>
        <w:t>道路机械排</w:t>
      </w:r>
      <w:r>
        <w:rPr>
          <w:rFonts w:ascii="仿宋_GB2312" w:eastAsia="仿宋_GB2312" w:hAnsi="仿宋_GB2312" w:cs="仿宋_GB2312" w:hint="eastAsia"/>
          <w:sz w:val="32"/>
          <w:szCs w:val="32"/>
        </w:rPr>
        <w:lastRenderedPageBreak/>
        <w:t>放标准。</w:t>
      </w:r>
    </w:p>
    <w:p w14:paraId="6D5D6B57"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13.1.2对评标委员会成员的纪律要求</w:t>
      </w:r>
    </w:p>
    <w:p w14:paraId="33EBD8C6"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9E7FA9E"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（2）评标委员会成员不得携带任何资料纸张、移动通讯工具或者具有录音、录像功能的电子设备等物品进入封闭评标区。</w:t>
      </w:r>
    </w:p>
    <w:p w14:paraId="538685AB"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（3）评标委员会成员不得擅自离开封闭评标区、独立评标工位或者在封闭评标区大声喧哗，影响公共秩序。</w:t>
      </w:r>
    </w:p>
    <w:p w14:paraId="6AC2DE24"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（4）评标委员会成员不得私下接触投标人或者收受投标人、中介人、其他利害关系人的财物或者其他好处，在评标评审工作中，与投标人有利害关系的，应当主动回避。</w:t>
      </w:r>
    </w:p>
    <w:p w14:paraId="50D0EFEE"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（5）评标委员会成员不得随意缩短评标评审时间或者敷衍塞责随意评标评审。</w:t>
      </w:r>
    </w:p>
    <w:p w14:paraId="7A916A07"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（6）评标委员会成员不得在评标评审工作开始后随意离开评标室，如需打水、如厕等，每次只能有一人离开评标室。</w:t>
      </w:r>
    </w:p>
    <w:p w14:paraId="379D9650"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（7）评标委员会成员不得在评标室外（包括封闭评标区内餐厅和客房）讨论与评标评审工作有关的信息。</w:t>
      </w:r>
    </w:p>
    <w:p w14:paraId="339C59FF"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（8）评标委员会成员不得相互交谈、对其他评标委员会成员的意见施加任何影响或者相互抄袭或借鉴其他评标专</w:t>
      </w:r>
      <w:r>
        <w:rPr>
          <w:rFonts w:ascii="仿宋_GB2312" w:eastAsia="仿宋_GB2312" w:hAnsi="仿宋_GB2312" w:cs="仿宋_GB2312" w:hint="eastAsia"/>
          <w:sz w:val="32"/>
          <w:szCs w:val="32"/>
        </w:rPr>
        <w:lastRenderedPageBreak/>
        <w:t>家的评标评审结果。</w:t>
      </w:r>
    </w:p>
    <w:p w14:paraId="10356ACD"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（9）评标委员会成员不得向招标人征询确定中标人的意向或者接受任何单位、个人提出的倾向或者排斥特定投标人的要求。</w:t>
      </w:r>
    </w:p>
    <w:p w14:paraId="6C4EE1CF"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（10）评标委员会成员不得私自记录与评标评审有关内容或者将任何与评标评审有关的资料、文件带离封闭评标区。</w:t>
      </w:r>
    </w:p>
    <w:p w14:paraId="2939A9E7"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（11）评标委员会成员不得在合法的评标劳务费之外额外索取报酬或者在封闭评标区内讨论与评标评审报酬有关的话题。</w:t>
      </w:r>
    </w:p>
    <w:p w14:paraId="2437C562"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（12）评标委员会成员不得遮挡、关闭或者破坏评标场所内的监控设施。</w:t>
      </w:r>
    </w:p>
    <w:p w14:paraId="0A9BF880"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三、在第三章评标办法专用部分第4条增加以下内容：</w:t>
      </w:r>
    </w:p>
    <w:p w14:paraId="1C990D4F"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4.1 评标委员会发现投标文件中含义不明确、对同类问题表述不一致、有明显文字和计算错误、投标报价可能低于成本影响履约的，应当先要求投标人进行澄清、说明，不得直接否决投标。</w:t>
      </w:r>
    </w:p>
    <w:p w14:paraId="36A05C21"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 有效投标不足三个的，评标委员会应当对投标是否明显缺乏竞争和是否需要否决全部投标进行充分论证，并在评标报告中记载论证过程和结果，经论证后，评标委员会认为有效投标均不符合招标文件的技术要求或者明显缺乏竞争力时，应当否决全部投标。</w:t>
      </w:r>
    </w:p>
    <w:p w14:paraId="40FB1BF4"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4.3 评标委员会发现招标文件内容违反有关强制性规定或者招标文件存在歧义、重大缺陷导致评标无法进行时，应当停止评标并向招标人说明情况。</w:t>
      </w:r>
    </w:p>
    <w:p w14:paraId="7C6C41CB"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四、在第三章评标办法专用部分“附件A：否决投标条件”中增加以下内容：</w:t>
      </w:r>
    </w:p>
    <w:p w14:paraId="60250700"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w:t>
      </w:r>
      <w:proofErr w:type="gramStart"/>
      <w:r>
        <w:rPr>
          <w:rFonts w:ascii="仿宋_GB2312" w:eastAsia="仿宋_GB2312" w:hAnsi="仿宋_GB2312" w:cs="仿宋_GB2312" w:hint="eastAsia"/>
          <w:sz w:val="32"/>
          <w:szCs w:val="32"/>
        </w:rPr>
        <w:t>附件第</w:t>
      </w:r>
      <w:proofErr w:type="gramEnd"/>
      <w:r>
        <w:rPr>
          <w:rFonts w:ascii="仿宋_GB2312" w:eastAsia="仿宋_GB2312" w:hAnsi="仿宋_GB2312" w:cs="仿宋_GB2312" w:hint="eastAsia"/>
          <w:sz w:val="32"/>
          <w:szCs w:val="32"/>
        </w:rPr>
        <w:t>A1.1（16）项调整为“在最近三年内发生重大施工质量问题（以相关行业主管部门的行政处罚决定或司法机关出具的有关法律文书为准）。”</w:t>
      </w:r>
    </w:p>
    <w:p w14:paraId="078A6764"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（2）投标人未提供符合招标文件规定的在工程施工过程中使用新能源机械承诺书的。（适用于必须使用新能源机械的）</w:t>
      </w:r>
    </w:p>
    <w:p w14:paraId="63AD1961"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bookmarkStart w:id="1" w:name="OLE_LINK6"/>
      <w:r>
        <w:rPr>
          <w:rFonts w:ascii="仿宋_GB2312" w:eastAsia="仿宋_GB2312" w:hAnsi="仿宋_GB2312" w:cs="仿宋_GB2312" w:hint="eastAsia"/>
          <w:sz w:val="32"/>
          <w:szCs w:val="32"/>
        </w:rPr>
        <w:t>五、在第三章评标办法专用部分“附表5：资格评审记录表”第5条“近年完成的类似工程业绩”的有效证明文件中增加以下内容（适用于资格后审）：</w:t>
      </w:r>
    </w:p>
    <w:bookmarkEnd w:id="1"/>
    <w:p w14:paraId="02B384F8"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库一平台”中的数据分为A、B、C、D四个等级。A级为省级住房和城乡建设主管部门审核确认，B级为市级住房和城乡建设主管部门审核确认，C级为县级住房和城乡建设主管部门审核确认，D级为建筑市场主体填报，未经行政主管部门审核。</w:t>
      </w:r>
    </w:p>
    <w:p w14:paraId="3C00D2B2"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六、在第三章评标办法专用部分“附表5：资格评审记录表”增加以下内容（适用于资格后审）：</w:t>
      </w:r>
    </w:p>
    <w:p w14:paraId="069FBDC7"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评审因素：同一母公司的子公司（含子公司的子公司）投标人数量限制（适用于对同一母公司的子公司（含子公司的子公司）投标人数量进行限制的）</w:t>
      </w:r>
    </w:p>
    <w:p w14:paraId="39402DDF"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bookmarkStart w:id="2" w:name="OLE_LINK7"/>
      <w:r>
        <w:rPr>
          <w:rFonts w:ascii="仿宋_GB2312" w:eastAsia="仿宋_GB2312" w:hAnsi="仿宋_GB2312" w:cs="仿宋_GB2312" w:hint="eastAsia"/>
          <w:sz w:val="32"/>
          <w:szCs w:val="32"/>
        </w:rPr>
        <w:t>评审标准：</w:t>
      </w:r>
      <w:bookmarkEnd w:id="2"/>
      <w:r>
        <w:rPr>
          <w:rFonts w:ascii="仿宋_GB2312" w:eastAsia="仿宋_GB2312" w:hAnsi="仿宋_GB2312" w:cs="仿宋_GB2312" w:hint="eastAsia"/>
          <w:sz w:val="32"/>
          <w:szCs w:val="32"/>
        </w:rPr>
        <w:t>符合第二章“投标人须知”第1.4.3项限制规则</w:t>
      </w:r>
    </w:p>
    <w:p w14:paraId="6E2C8ECA"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七、第三章评标办法专用部分“附表6：响应性评审记</w:t>
      </w:r>
      <w:r>
        <w:rPr>
          <w:rFonts w:ascii="仿宋_GB2312" w:eastAsia="仿宋_GB2312" w:hAnsi="仿宋_GB2312" w:cs="仿宋_GB2312" w:hint="eastAsia"/>
          <w:sz w:val="32"/>
          <w:szCs w:val="32"/>
        </w:rPr>
        <w:lastRenderedPageBreak/>
        <w:t>录表”第2条调整如下：</w:t>
      </w:r>
    </w:p>
    <w:p w14:paraId="3E6EBFDD"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评审因素：工期</w:t>
      </w:r>
    </w:p>
    <w:p w14:paraId="39C34B17" w14:textId="77777777" w:rsidR="00AC70D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评审标准：符合第二章“投标人须知”第1.3.2项中的“要求工期”</w:t>
      </w:r>
    </w:p>
    <w:p w14:paraId="142487FA"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八、在第三章评标办法专用部分“附表6：响应性评审记录表”增加以下内容：</w:t>
      </w:r>
    </w:p>
    <w:p w14:paraId="58813465"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bookmarkStart w:id="3" w:name="OLE_LINK8"/>
      <w:r>
        <w:rPr>
          <w:rFonts w:ascii="仿宋_GB2312" w:eastAsia="仿宋_GB2312" w:hAnsi="仿宋_GB2312" w:cs="仿宋_GB2312" w:hint="eastAsia"/>
          <w:sz w:val="32"/>
          <w:szCs w:val="32"/>
        </w:rPr>
        <w:t>评审因素：</w:t>
      </w:r>
      <w:bookmarkEnd w:id="3"/>
      <w:r>
        <w:rPr>
          <w:rFonts w:ascii="仿宋_GB2312" w:eastAsia="仿宋_GB2312" w:hAnsi="仿宋_GB2312" w:cs="仿宋_GB2312" w:hint="eastAsia"/>
          <w:sz w:val="32"/>
          <w:szCs w:val="32"/>
        </w:rPr>
        <w:t>新能源机械的使用（适用于必须使用的）</w:t>
      </w:r>
    </w:p>
    <w:p w14:paraId="6FC3F7D5"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评审标准：符合第二章“投标人须知”</w:t>
      </w:r>
      <w:bookmarkStart w:id="4" w:name="OLE_LINK9"/>
      <w:r>
        <w:rPr>
          <w:rFonts w:ascii="仿宋_GB2312" w:eastAsia="仿宋_GB2312" w:hAnsi="仿宋_GB2312" w:cs="仿宋_GB2312" w:hint="eastAsia"/>
          <w:sz w:val="32"/>
          <w:szCs w:val="32"/>
        </w:rPr>
        <w:t>第13.1.1项</w:t>
      </w:r>
      <w:bookmarkEnd w:id="4"/>
      <w:r>
        <w:rPr>
          <w:rFonts w:ascii="仿宋_GB2312" w:eastAsia="仿宋_GB2312" w:hAnsi="仿宋_GB2312" w:cs="仿宋_GB2312" w:hint="eastAsia"/>
          <w:sz w:val="32"/>
          <w:szCs w:val="32"/>
        </w:rPr>
        <w:t>规定</w:t>
      </w:r>
    </w:p>
    <w:p w14:paraId="4C078ADB"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bookmarkStart w:id="5" w:name="OLE_LINK10"/>
      <w:r>
        <w:rPr>
          <w:rFonts w:ascii="仿宋_GB2312" w:eastAsia="仿宋_GB2312" w:hAnsi="仿宋_GB2312" w:cs="仿宋_GB2312" w:hint="eastAsia"/>
          <w:sz w:val="32"/>
          <w:szCs w:val="32"/>
        </w:rPr>
        <w:t>九、在第三章评标办法专用部分“附表12：其他因素评审记录表”增加以下内容：</w:t>
      </w:r>
    </w:p>
    <w:bookmarkEnd w:id="5"/>
    <w:p w14:paraId="5866E3BA"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评分因素：新能源机械的使用（适用于鼓励使用的）</w:t>
      </w:r>
    </w:p>
    <w:p w14:paraId="7E3B2D2F"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评分标准：提供第二章“投标人须知”第13.1.1项规定承诺书的得    分</w:t>
      </w:r>
    </w:p>
    <w:p w14:paraId="3F416361"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十、在第四章合同条款专用部分第3.13款增加以下内容：</w:t>
      </w:r>
    </w:p>
    <w:p w14:paraId="4A8E4B17"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承包人依法合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建立行业挥发性有机物治理（如建筑施工、室外构筑物防护和道路交通标识等其他涂装作业，推广使用水性、高固体分、无溶剂、粉末等涂料和水基、本体型等低VOCs含量胶粘剂）等责任制，制定具体的管控机制和实施方案，并督促分包人严格落实。</w:t>
      </w:r>
    </w:p>
    <w:p w14:paraId="4FE39CCD"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bookmarkStart w:id="6" w:name="OLE_LINK13"/>
      <w:bookmarkStart w:id="7" w:name="OLE_LINK12"/>
      <w:r>
        <w:rPr>
          <w:rFonts w:ascii="仿宋_GB2312" w:eastAsia="仿宋_GB2312" w:hAnsi="仿宋_GB2312" w:cs="仿宋_GB2312" w:hint="eastAsia"/>
          <w:sz w:val="32"/>
          <w:szCs w:val="32"/>
        </w:rPr>
        <w:t>十一、在第四章合同条款专用部分第4.1.12（4）</w:t>
      </w:r>
      <w:proofErr w:type="gramStart"/>
      <w:r>
        <w:rPr>
          <w:rFonts w:ascii="仿宋_GB2312" w:eastAsia="仿宋_GB2312" w:hAnsi="仿宋_GB2312" w:cs="仿宋_GB2312" w:hint="eastAsia"/>
          <w:sz w:val="32"/>
          <w:szCs w:val="32"/>
        </w:rPr>
        <w:t>目增加</w:t>
      </w:r>
      <w:proofErr w:type="gramEnd"/>
      <w:r>
        <w:rPr>
          <w:rFonts w:ascii="仿宋_GB2312" w:eastAsia="仿宋_GB2312" w:hAnsi="仿宋_GB2312" w:cs="仿宋_GB2312" w:hint="eastAsia"/>
          <w:sz w:val="32"/>
          <w:szCs w:val="32"/>
        </w:rPr>
        <w:t>以下内容：</w:t>
      </w:r>
    </w:p>
    <w:bookmarkEnd w:id="6"/>
    <w:p w14:paraId="6A035071"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分包人应当依法合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建立行业挥发性有机物治理（如建</w:t>
      </w:r>
      <w:r>
        <w:rPr>
          <w:rFonts w:ascii="仿宋_GB2312" w:eastAsia="仿宋_GB2312" w:hAnsi="仿宋_GB2312" w:cs="仿宋_GB2312" w:hint="eastAsia"/>
          <w:sz w:val="32"/>
          <w:szCs w:val="32"/>
        </w:rPr>
        <w:lastRenderedPageBreak/>
        <w:t>筑施工、室外构筑物防护和道路交通标识等其他涂装作业，推广使用水性、高固体分、无溶剂、粉末等涂料和水基、本体型等低 VOCs含量胶粘剂）等责任制，制定具体的管控机制和实施方案，严格落实。针对工程项目特点制定具体的实施方案，并严格实施。如扬尘治理，分包人应在建筑工地公示施工扬尘治理措施、责任人、主管部门等信息，并及时向当地主管部门报送施工扬尘治理措施落实情况。</w:t>
      </w:r>
    </w:p>
    <w:bookmarkEnd w:id="7"/>
    <w:p w14:paraId="1C31F571"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分包人应遵守《中华人民共和国妇女权益保障法》中关于“劳动和社会保障权益”的有关要求。</w:t>
      </w:r>
    </w:p>
    <w:p w14:paraId="43A1A33A" w14:textId="77777777" w:rsidR="00AC70D6" w:rsidRDefault="00000000">
      <w:pPr>
        <w:numPr>
          <w:ilvl w:val="255"/>
          <w:numId w:val="0"/>
        </w:num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十二、在第五章技术标准和要求专用部分第13条增加以下内容：</w:t>
      </w:r>
    </w:p>
    <w:p w14:paraId="2AFFC43C" w14:textId="77777777" w:rsidR="00AC70D6" w:rsidRDefault="0000000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本专业分包工程使用全密闭施工技术及在土方阶段使用基坑气膜的要求：</w:t>
      </w:r>
      <w:r>
        <w:rPr>
          <w:rFonts w:ascii="宋体" w:hAnsi="宋体" w:cs="Arial" w:hint="eastAsia"/>
          <w:szCs w:val="21"/>
          <w:u w:val="single"/>
        </w:rPr>
        <w:t xml:space="preserve">                                          </w:t>
      </w:r>
      <w:r>
        <w:rPr>
          <w:rFonts w:ascii="宋体" w:hAnsi="宋体" w:hint="eastAsia"/>
          <w:szCs w:val="21"/>
          <w:u w:val="single"/>
        </w:rPr>
        <w:t xml:space="preserve"> </w:t>
      </w:r>
      <w:r>
        <w:rPr>
          <w:rFonts w:ascii="仿宋_GB2312" w:eastAsia="仿宋_GB2312" w:hAnsi="仿宋_GB2312" w:cs="仿宋_GB2312" w:hint="eastAsia"/>
          <w:sz w:val="32"/>
          <w:szCs w:val="32"/>
        </w:rPr>
        <w:t xml:space="preserve">                                                                      </w:t>
      </w:r>
    </w:p>
    <w:p w14:paraId="3117F54F" w14:textId="77777777" w:rsidR="00AC70D6" w:rsidRDefault="00AC70D6">
      <w:pPr>
        <w:spacing w:line="560" w:lineRule="exact"/>
        <w:ind w:firstLineChars="200" w:firstLine="480"/>
        <w:rPr>
          <w:rFonts w:ascii="宋体" w:eastAsia="宋体" w:hAnsi="宋体" w:hint="eastAsia"/>
          <w:sz w:val="24"/>
        </w:rPr>
      </w:pPr>
    </w:p>
    <w:p w14:paraId="7F2AA46C" w14:textId="77777777" w:rsidR="00AC70D6" w:rsidRDefault="00AC70D6">
      <w:pPr>
        <w:spacing w:line="560" w:lineRule="exact"/>
        <w:rPr>
          <w:rFonts w:ascii="Times New Roman" w:eastAsia="仿宋_GB2312" w:hAnsi="Times New Roman" w:cs="Times New Roman"/>
          <w:sz w:val="32"/>
          <w:szCs w:val="32"/>
        </w:rPr>
      </w:pPr>
    </w:p>
    <w:sectPr w:rsidR="00AC70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9FF4" w14:textId="77777777" w:rsidR="00183332" w:rsidRDefault="00183332">
      <w:pPr>
        <w:spacing w:after="0" w:line="240" w:lineRule="auto"/>
      </w:pPr>
      <w:r>
        <w:separator/>
      </w:r>
    </w:p>
  </w:endnote>
  <w:endnote w:type="continuationSeparator" w:id="0">
    <w:p w14:paraId="40E02973" w14:textId="77777777" w:rsidR="00183332" w:rsidRDefault="0018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12FE" w14:textId="77777777" w:rsidR="00AC70D6" w:rsidRDefault="00000000">
    <w:pPr>
      <w:pStyle w:val="a5"/>
      <w:jc w:val="center"/>
    </w:pPr>
    <w:r>
      <w:rPr>
        <w:noProof/>
      </w:rPr>
      <mc:AlternateContent>
        <mc:Choice Requires="wps">
          <w:drawing>
            <wp:anchor distT="0" distB="0" distL="114300" distR="114300" simplePos="0" relativeHeight="251659264" behindDoc="0" locked="0" layoutInCell="1" allowOverlap="1" wp14:anchorId="7419E4CA" wp14:editId="206B146B">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995"/>
                          </w:sdtPr>
                          <w:sdtContent>
                            <w:p w14:paraId="46FB0A3D" w14:textId="77777777" w:rsidR="00AC70D6" w:rsidRDefault="00000000">
                              <w:pPr>
                                <w:pStyle w:val="a5"/>
                                <w:jc w:val="cente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lang w:val="zh-CN"/>
                                </w:rPr>
                                <w:t>2</w:t>
                              </w:r>
                              <w:r>
                                <w:rPr>
                                  <w:rFonts w:asciiTheme="minorEastAsia" w:hAnsiTheme="minorEastAsia" w:cstheme="minorEastAsia" w:hint="eastAsia"/>
                                  <w:sz w:val="28"/>
                                  <w:szCs w:val="28"/>
                                </w:rPr>
                                <w:fldChar w:fldCharType="end"/>
                              </w:r>
                            </w:p>
                          </w:sdtContent>
                        </w:sdt>
                        <w:p w14:paraId="27C496EF" w14:textId="77777777" w:rsidR="00AC70D6" w:rsidRDefault="00AC70D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19E4CA"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58995"/>
                    </w:sdtPr>
                    <w:sdtContent>
                      <w:p w14:paraId="46FB0A3D" w14:textId="77777777" w:rsidR="00AC70D6" w:rsidRDefault="00000000">
                        <w:pPr>
                          <w:pStyle w:val="a5"/>
                          <w:jc w:val="cente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lang w:val="zh-CN"/>
                          </w:rPr>
                          <w:t>2</w:t>
                        </w:r>
                        <w:r>
                          <w:rPr>
                            <w:rFonts w:asciiTheme="minorEastAsia" w:hAnsiTheme="minorEastAsia" w:cstheme="minorEastAsia" w:hint="eastAsia"/>
                            <w:sz w:val="28"/>
                            <w:szCs w:val="28"/>
                          </w:rPr>
                          <w:fldChar w:fldCharType="end"/>
                        </w:r>
                      </w:p>
                    </w:sdtContent>
                  </w:sdt>
                  <w:p w14:paraId="27C496EF" w14:textId="77777777" w:rsidR="00AC70D6" w:rsidRDefault="00AC70D6"/>
                </w:txbxContent>
              </v:textbox>
              <w10:wrap anchorx="margin"/>
            </v:shape>
          </w:pict>
        </mc:Fallback>
      </mc:AlternateContent>
    </w:r>
  </w:p>
  <w:p w14:paraId="432F497A" w14:textId="77777777" w:rsidR="00AC70D6" w:rsidRDefault="00AC70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1D48" w14:textId="77777777" w:rsidR="00183332" w:rsidRDefault="00183332">
      <w:pPr>
        <w:spacing w:after="0" w:line="240" w:lineRule="auto"/>
      </w:pPr>
      <w:r>
        <w:separator/>
      </w:r>
    </w:p>
  </w:footnote>
  <w:footnote w:type="continuationSeparator" w:id="0">
    <w:p w14:paraId="765F12D9" w14:textId="77777777" w:rsidR="00183332" w:rsidRDefault="00183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9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hhODg0NTAyMzM4ZjM0MGJhZjU1MjRhNWQyYTk1ODAifQ=="/>
  </w:docVars>
  <w:rsids>
    <w:rsidRoot w:val="00067DFD"/>
    <w:rsid w:val="AFF788DD"/>
    <w:rsid w:val="EAF6AAF5"/>
    <w:rsid w:val="FBFFD4E0"/>
    <w:rsid w:val="FF9FDD3A"/>
    <w:rsid w:val="FFFF662C"/>
    <w:rsid w:val="00023AA3"/>
    <w:rsid w:val="000637E4"/>
    <w:rsid w:val="00067DFD"/>
    <w:rsid w:val="000D6EFA"/>
    <w:rsid w:val="00106D74"/>
    <w:rsid w:val="00126EDD"/>
    <w:rsid w:val="0014673B"/>
    <w:rsid w:val="00154055"/>
    <w:rsid w:val="00175478"/>
    <w:rsid w:val="00183332"/>
    <w:rsid w:val="00215F01"/>
    <w:rsid w:val="002D1A49"/>
    <w:rsid w:val="002E3403"/>
    <w:rsid w:val="002E5BB2"/>
    <w:rsid w:val="00314582"/>
    <w:rsid w:val="00350FA9"/>
    <w:rsid w:val="0037113D"/>
    <w:rsid w:val="00394DDF"/>
    <w:rsid w:val="003E7CE6"/>
    <w:rsid w:val="00450B8C"/>
    <w:rsid w:val="005218DF"/>
    <w:rsid w:val="00584AE8"/>
    <w:rsid w:val="005B4A5D"/>
    <w:rsid w:val="005D7A2F"/>
    <w:rsid w:val="0066458E"/>
    <w:rsid w:val="00666DC5"/>
    <w:rsid w:val="0077149C"/>
    <w:rsid w:val="00783A97"/>
    <w:rsid w:val="007B2422"/>
    <w:rsid w:val="007C56F6"/>
    <w:rsid w:val="007E02C2"/>
    <w:rsid w:val="007F40DC"/>
    <w:rsid w:val="00817908"/>
    <w:rsid w:val="008914EF"/>
    <w:rsid w:val="008B5415"/>
    <w:rsid w:val="008F214F"/>
    <w:rsid w:val="009A0077"/>
    <w:rsid w:val="009D22D5"/>
    <w:rsid w:val="00A0032B"/>
    <w:rsid w:val="00A435E7"/>
    <w:rsid w:val="00A76C2C"/>
    <w:rsid w:val="00A90939"/>
    <w:rsid w:val="00AC70D6"/>
    <w:rsid w:val="00B312B0"/>
    <w:rsid w:val="00BF7C24"/>
    <w:rsid w:val="00C70C9F"/>
    <w:rsid w:val="00D7375B"/>
    <w:rsid w:val="00D77F33"/>
    <w:rsid w:val="00DB27BA"/>
    <w:rsid w:val="00E72464"/>
    <w:rsid w:val="00EB0FFB"/>
    <w:rsid w:val="00FB2491"/>
    <w:rsid w:val="00FC3908"/>
    <w:rsid w:val="017F47C2"/>
    <w:rsid w:val="059B441B"/>
    <w:rsid w:val="09177FEC"/>
    <w:rsid w:val="09DD2099"/>
    <w:rsid w:val="0AF72FF9"/>
    <w:rsid w:val="0CBC2A4A"/>
    <w:rsid w:val="104921DA"/>
    <w:rsid w:val="19255116"/>
    <w:rsid w:val="19BA52B5"/>
    <w:rsid w:val="1E6905F2"/>
    <w:rsid w:val="1EBC24D2"/>
    <w:rsid w:val="1F1277CF"/>
    <w:rsid w:val="1F9F7F84"/>
    <w:rsid w:val="1FB02549"/>
    <w:rsid w:val="20262618"/>
    <w:rsid w:val="27CF180E"/>
    <w:rsid w:val="281076EB"/>
    <w:rsid w:val="2A892448"/>
    <w:rsid w:val="2CF91D27"/>
    <w:rsid w:val="2FC61947"/>
    <w:rsid w:val="31A92719"/>
    <w:rsid w:val="32F70138"/>
    <w:rsid w:val="33E1080F"/>
    <w:rsid w:val="349C43D2"/>
    <w:rsid w:val="359E5EE1"/>
    <w:rsid w:val="36230B05"/>
    <w:rsid w:val="371D4270"/>
    <w:rsid w:val="374D4938"/>
    <w:rsid w:val="3BA10038"/>
    <w:rsid w:val="3BDF0AD1"/>
    <w:rsid w:val="3F1D3C1A"/>
    <w:rsid w:val="41F31BFC"/>
    <w:rsid w:val="453A344A"/>
    <w:rsid w:val="45CD757A"/>
    <w:rsid w:val="4683634C"/>
    <w:rsid w:val="494B13CC"/>
    <w:rsid w:val="49FA1B99"/>
    <w:rsid w:val="4F9949D1"/>
    <w:rsid w:val="50B47AA9"/>
    <w:rsid w:val="546718CE"/>
    <w:rsid w:val="574F62AD"/>
    <w:rsid w:val="57BFA5EC"/>
    <w:rsid w:val="58842E9B"/>
    <w:rsid w:val="5A2B3621"/>
    <w:rsid w:val="5FEC3CBE"/>
    <w:rsid w:val="67BA25BB"/>
    <w:rsid w:val="68366BF7"/>
    <w:rsid w:val="69C46AE9"/>
    <w:rsid w:val="69E744A7"/>
    <w:rsid w:val="6B9353B2"/>
    <w:rsid w:val="6DC5431B"/>
    <w:rsid w:val="6FF1749F"/>
    <w:rsid w:val="6FFD5524"/>
    <w:rsid w:val="71920663"/>
    <w:rsid w:val="72A10820"/>
    <w:rsid w:val="74836CE1"/>
    <w:rsid w:val="75941648"/>
    <w:rsid w:val="76357310"/>
    <w:rsid w:val="796F1545"/>
    <w:rsid w:val="79FE14D2"/>
    <w:rsid w:val="7B24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352321"/>
  <w15:docId w15:val="{5FED7163-617F-495C-A7C6-DDAFF2AB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338DE6"/>
      <w:u w:val="none"/>
    </w:rPr>
  </w:style>
  <w:style w:type="character" w:styleId="aa">
    <w:name w:val="Hyperlink"/>
    <w:basedOn w:val="a0"/>
    <w:uiPriority w:val="99"/>
    <w:unhideWhenUsed/>
    <w:qFormat/>
    <w:rPr>
      <w:color w:val="338DE6"/>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irst-child">
    <w:name w:val="first-child"/>
    <w:basedOn w:val="a0"/>
    <w:qFormat/>
  </w:style>
  <w:style w:type="character" w:customStyle="1" w:styleId="first-child1">
    <w:name w:val="first-child1"/>
    <w:basedOn w:val="a0"/>
    <w:qFormat/>
  </w:style>
  <w:style w:type="character" w:customStyle="1" w:styleId="descti4f0">
    <w:name w:val="desc_ti4f0"/>
    <w:basedOn w:val="a0"/>
    <w:qFormat/>
    <w:rPr>
      <w:color w:val="333333"/>
    </w:rPr>
  </w:style>
  <w:style w:type="character" w:customStyle="1" w:styleId="typepazs1">
    <w:name w:val="type_pazs1"/>
    <w:basedOn w:val="a0"/>
    <w:qFormat/>
    <w:rPr>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荆磊笔记本</cp:lastModifiedBy>
  <cp:revision>3</cp:revision>
  <cp:lastPrinted>2025-09-11T16:48:00Z</cp:lastPrinted>
  <dcterms:created xsi:type="dcterms:W3CDTF">2025-09-10T10:59:00Z</dcterms:created>
  <dcterms:modified xsi:type="dcterms:W3CDTF">2025-09-10T10:59:00Z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D46039F84FD446529AA09EB75921D6AC_13</vt:lpwstr>
  </property>
  <property fmtid="{D5CDD505-2E9C-101B-9397-08002B2CF9AE}" pid="4" name="KSOTemplateDocerSaveRecord">
    <vt:lpwstr>eyJoZGlkIjoiZmZiNDcwNjljMzYwMTJkZjZiN2UwZDcyM2I3YzhhM2EiLCJ1c2VySWQiOiI0MTQwNDIxNzcifQ==</vt:lpwstr>
  </property>
</Properties>
</file>